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53D" w:rsidRPr="0098053D" w:rsidRDefault="0098053D" w:rsidP="0098053D">
      <w:pPr>
        <w:jc w:val="center"/>
        <w:rPr>
          <w:b/>
        </w:rPr>
      </w:pPr>
      <w:r w:rsidRPr="0098053D">
        <w:rPr>
          <w:b/>
        </w:rPr>
        <w:t xml:space="preserve">Needs Assessment for Alabama Chapter of the American Academy of Pediatrics </w:t>
      </w:r>
    </w:p>
    <w:p w:rsidR="0098053D" w:rsidRPr="0098053D" w:rsidRDefault="002663E8" w:rsidP="0098053D">
      <w:pPr>
        <w:jc w:val="center"/>
        <w:rPr>
          <w:b/>
        </w:rPr>
      </w:pPr>
      <w:r>
        <w:rPr>
          <w:b/>
        </w:rPr>
        <w:t>2021</w:t>
      </w:r>
      <w:r w:rsidR="00F06FA3">
        <w:rPr>
          <w:b/>
        </w:rPr>
        <w:t xml:space="preserve"> </w:t>
      </w:r>
      <w:r w:rsidR="004356DD">
        <w:rPr>
          <w:b/>
        </w:rPr>
        <w:t>Spring</w:t>
      </w:r>
      <w:r w:rsidR="002354AE">
        <w:rPr>
          <w:b/>
        </w:rPr>
        <w:t xml:space="preserve"> </w:t>
      </w:r>
      <w:r>
        <w:rPr>
          <w:b/>
        </w:rPr>
        <w:t xml:space="preserve">Meeting &amp; </w:t>
      </w:r>
      <w:r w:rsidR="00F06FA3">
        <w:rPr>
          <w:b/>
        </w:rPr>
        <w:t>Pediatric Update</w:t>
      </w:r>
      <w:r w:rsidR="0098053D" w:rsidRPr="0098053D">
        <w:rPr>
          <w:b/>
        </w:rPr>
        <w:t xml:space="preserve"> </w:t>
      </w:r>
    </w:p>
    <w:p w:rsidR="0098053D" w:rsidRDefault="0098053D" w:rsidP="00941C28"/>
    <w:p w:rsidR="002663E8" w:rsidRPr="00BB7C06" w:rsidRDefault="002663E8" w:rsidP="002663E8">
      <w:r w:rsidRPr="00BB7C06">
        <w:t>The Alabama Chapter of the American Academy of Pediatrics (AL-AAP) is the largest association of pediatricians in the state of Alabama dedicated to the care and well-being of children. There are more than 8</w:t>
      </w:r>
      <w:r w:rsidR="00EF5C0C" w:rsidRPr="00BB7C06">
        <w:t>5</w:t>
      </w:r>
      <w:r w:rsidRPr="00BB7C06">
        <w:t>0 members representing academic, subspecialty and community pediatrics from urban, suburban and rural settings in Alabama. The mission of the AL-AAP is to obtain optimal health and well-being for all children in Alabama, and to provide educational and practice support for its membership so the highest quality of medical care can be achieved.  The vision of the AL-AAP is: children in Alabama are happy and healthy; Alabama pediatricians are professionally fulfilled and financially secure.</w:t>
      </w:r>
    </w:p>
    <w:p w:rsidR="002663E8" w:rsidRPr="00BB7C06" w:rsidRDefault="002663E8" w:rsidP="002663E8"/>
    <w:p w:rsidR="002663E8" w:rsidRPr="00BB7C06" w:rsidRDefault="002663E8" w:rsidP="002663E8">
      <w:r w:rsidRPr="00BB7C06">
        <w:t xml:space="preserve">The AL-AAP Spring Meeting &amp; Pediatric Update is designed to increase the development of clinical skills, clinical practice, and teaching ability and to help improve knowledge and competence within all areas of pediatric medicine in order to help achieve the best outcome for the child.  Focus will be placed on the core competencies identified by the American Board of Medical Specialties, which are Patient Care, Medical Knowledge, Practice-Based Learning and Improvement, Interpersonal and Communication Skills, and Systems-Based Practice.  </w:t>
      </w:r>
    </w:p>
    <w:p w:rsidR="002663E8" w:rsidRPr="00BB7C06" w:rsidRDefault="002663E8" w:rsidP="002663E8"/>
    <w:p w:rsidR="002663E8" w:rsidRPr="00BB7C06" w:rsidRDefault="002663E8" w:rsidP="002663E8">
      <w:r w:rsidRPr="00BB7C06">
        <w:t xml:space="preserve">The AL-AAP </w:t>
      </w:r>
      <w:r w:rsidR="000507D6" w:rsidRPr="00BB7C06">
        <w:t xml:space="preserve">Spring Meeting &amp; Pediatric Update </w:t>
      </w:r>
      <w:r w:rsidRPr="00BB7C06">
        <w:t xml:space="preserve">was developed to address the educational needs of Alabama pediatric healthcare providers by identifying the professional practice gaps that exist among our learners.  This process begins by creating a list of quantified or perceived performance gaps from resources which include data from the Alabama Department of Public Health, Alabama Kids Count, Alabama Medicaid Agency and others, as well as prior surveys from CME events and experiences from pediatricians from around the state. When appropriate, Alabama performance gaps are verified by using national healthcare statistics and trends, American Academy of Pediatrics guidelines/policy, state and local public health statistics, identified healthcare gaps from national opinion leaders such as the Institute of Medicine (IOM), Institute of Safe Medication Practices (ISMP), National Patient Safety Foundation (NPSF), Agency for Health Care Research and Quality (AARQ), National Quality Foundation and literature searches of writings submitted by experts in the field of interest.  Recent Center for Disease Control releases on healthcare policy related to children, and immunization statistics may be considered.  </w:t>
      </w:r>
    </w:p>
    <w:p w:rsidR="002663E8" w:rsidRPr="00BB7C06" w:rsidRDefault="002663E8" w:rsidP="002663E8"/>
    <w:p w:rsidR="002663E8" w:rsidRPr="00BB7C06" w:rsidRDefault="002663E8" w:rsidP="002663E8">
      <w:r w:rsidRPr="00BB7C06">
        <w:t>Despite wide promulgation, clinical practice guidelines by themselves have had limited effect on changing physician behavior. Little is known about the process and factors involved in changing physician practices in response to guidelines. One potential barrier to implementation of practice guidelines into practice is a knowledge gap. Pediatricians need to know about common presentations of medical disorders in children and adolescents and evidenced-based approaches to diagnosis and management of these conditions.</w:t>
      </w:r>
    </w:p>
    <w:p w:rsidR="002663E8" w:rsidRPr="00BB7C06" w:rsidRDefault="002663E8" w:rsidP="002663E8"/>
    <w:p w:rsidR="002663E8" w:rsidRPr="00BB7C06" w:rsidRDefault="002663E8" w:rsidP="002663E8">
      <w:r w:rsidRPr="00BB7C06">
        <w:t xml:space="preserve">The </w:t>
      </w:r>
      <w:r w:rsidR="000507D6" w:rsidRPr="00BB7C06">
        <w:t xml:space="preserve">2021 </w:t>
      </w:r>
      <w:r w:rsidR="000507D6" w:rsidRPr="00BB7C06">
        <w:t xml:space="preserve">Spring Meeting &amp; Pediatric Update </w:t>
      </w:r>
      <w:r w:rsidRPr="00BB7C06">
        <w:t xml:space="preserve">sessions will emphasize clinical topics related to </w:t>
      </w:r>
      <w:r w:rsidR="000507D6" w:rsidRPr="00BB7C06">
        <w:t xml:space="preserve">the current COVID-19 pandemic, including the efficacy and distribution of the COVID vaccine, </w:t>
      </w:r>
      <w:r w:rsidRPr="00BB7C06">
        <w:t xml:space="preserve">and trickle-down effects on children and pediatric practice, as well as illnesses and conditions specific to newborns, </w:t>
      </w:r>
      <w:r w:rsidRPr="00BB7C06">
        <w:lastRenderedPageBreak/>
        <w:t xml:space="preserve">children, adolescents, and young adults.  Sessions will also cover healthcare-related topics, including </w:t>
      </w:r>
      <w:r w:rsidR="000507D6" w:rsidRPr="00BB7C06">
        <w:t>spinal muscular atrophy, sickle cell disease, bleeding disorders, Hepatitis C in children, and other child health issues including child death review, early screening and referral, practice management and risk liability for pediatric practices</w:t>
      </w:r>
      <w:r w:rsidR="00EF5C0C" w:rsidRPr="00BB7C06">
        <w:t xml:space="preserve">. </w:t>
      </w:r>
    </w:p>
    <w:p w:rsidR="002663E8" w:rsidRPr="00BB7C06" w:rsidRDefault="002663E8" w:rsidP="002663E8"/>
    <w:p w:rsidR="002663E8" w:rsidRPr="00BB7C06" w:rsidRDefault="002663E8" w:rsidP="002663E8">
      <w:r w:rsidRPr="00BB7C06">
        <w:t xml:space="preserve">Pediatricians must address a long list of medical and social issues affecting child wellness, many of which were not covered in medical school, at a time when </w:t>
      </w:r>
      <w:proofErr w:type="spellStart"/>
      <w:r w:rsidRPr="00BB7C06">
        <w:t>payor</w:t>
      </w:r>
      <w:proofErr w:type="spellEnd"/>
      <w:r w:rsidRPr="00BB7C06">
        <w:t xml:space="preserve"> and other external demands have become increasingly complex.  With social-emotional issues and negative social determinants of health on the rise among children and teens, pediatricians must be better prepared to work as a team with parents and families and the health system at large to better address mental health issues, immunization delivery, </w:t>
      </w:r>
      <w:r w:rsidR="000B592A" w:rsidRPr="00BB7C06">
        <w:t>managing complex medical issues</w:t>
      </w:r>
      <w:r w:rsidRPr="00BB7C06">
        <w:t xml:space="preserve">, and the added layer of detrimental effects of COVID-19 on children and families.  </w:t>
      </w:r>
    </w:p>
    <w:p w:rsidR="002663E8" w:rsidRPr="00BB7C06" w:rsidRDefault="002663E8" w:rsidP="002663E8"/>
    <w:p w:rsidR="002663E8" w:rsidRPr="00BB7C06" w:rsidRDefault="00BB7C06" w:rsidP="002663E8">
      <w:r w:rsidRPr="00BB7C06">
        <w:t xml:space="preserve">The first does of the SARS-CoV-2, COVID-19 vaccine were sent to Alabama in mid-December.  There remains many questions on how quickly the vaccine will be allocated to populations most in need, the efficacy and length of protection, when the vaccines will be approved for children and how pediatricians can help in its distribution.  </w:t>
      </w:r>
      <w:r w:rsidR="002663E8" w:rsidRPr="00BB7C06">
        <w:t xml:space="preserve">With acquisition of new data, regional, national, and international guidance </w:t>
      </w:r>
      <w:r w:rsidRPr="00BB7C06">
        <w:t>on COVID-19 continues to rapidly evolve</w:t>
      </w:r>
      <w:r w:rsidR="002663E8" w:rsidRPr="00BB7C06">
        <w:t>. Pediatric leaders recognize the unsettling nature of these changing recommendations and cite a strong need to provide pediatric health care providers with more education to better understand the shifting landscape surrounding COVID-19.   Pediatricians must be equipped to manage these cases effectively within the context of the broader health system.</w:t>
      </w:r>
    </w:p>
    <w:p w:rsidR="002663E8" w:rsidRPr="00BB7C06" w:rsidRDefault="002663E8" w:rsidP="002663E8"/>
    <w:p w:rsidR="00BB7C06" w:rsidRPr="00BB7C06" w:rsidRDefault="00BB7C06" w:rsidP="00BB7C06">
      <w:r w:rsidRPr="00BB7C06">
        <w:t xml:space="preserve">Although COVID 19 infection is usually mild in children, the pandemic has serious detrimental effects on children ranging from school lockdown, mental health, child abuse, screen time, etc. Defining the extent of the impact is necessary for a pediatrician to effectively provide support/care.  During the COVID-19 pandemic, in some households children likely also witnessed or experienced more violence (anger on the caretaker side, triggering fear in children), something at least discussed in many opinion papers (Bradbury-Jones and </w:t>
      </w:r>
      <w:proofErr w:type="spellStart"/>
      <w:r w:rsidRPr="00BB7C06">
        <w:t>Isham</w:t>
      </w:r>
      <w:proofErr w:type="spellEnd"/>
      <w:r w:rsidRPr="00BB7C06">
        <w:t xml:space="preserve">, 2020, Usher et al., 2020). New empirical evidence backs this up by showing that in particular parents with more anxiety and depressive symptoms tend to show more potential for child abuse perpetration during the pandemic, especially when not receiving support (Brown, Doom, </w:t>
      </w:r>
      <w:proofErr w:type="spellStart"/>
      <w:r w:rsidRPr="00BB7C06">
        <w:t>Lechuga</w:t>
      </w:r>
      <w:proofErr w:type="spellEnd"/>
      <w:r w:rsidRPr="00BB7C06">
        <w:t xml:space="preserve">-Peña, </w:t>
      </w:r>
      <w:proofErr w:type="spellStart"/>
      <w:r w:rsidRPr="00BB7C06">
        <w:t>Watamura</w:t>
      </w:r>
      <w:proofErr w:type="spellEnd"/>
      <w:r w:rsidRPr="00BB7C06">
        <w:t xml:space="preserve">, &amp; </w:t>
      </w:r>
      <w:proofErr w:type="spellStart"/>
      <w:r w:rsidRPr="00BB7C06">
        <w:t>Koppels</w:t>
      </w:r>
      <w:proofErr w:type="spellEnd"/>
      <w:r w:rsidRPr="00BB7C06">
        <w:t>, 2020). Fear of COVID-19 might also have played a part in this.</w:t>
      </w:r>
    </w:p>
    <w:p w:rsidR="00BB7C06" w:rsidRPr="00BB7C06" w:rsidRDefault="00BB7C06" w:rsidP="002663E8"/>
    <w:p w:rsidR="002663E8" w:rsidRPr="00BB7C06" w:rsidRDefault="00BB7C06" w:rsidP="002663E8">
      <w:pPr>
        <w:rPr>
          <w:lang w:val="en"/>
        </w:rPr>
      </w:pPr>
      <w:r w:rsidRPr="00BB7C06">
        <w:t>Early screening and referral for developmental delay, maternal depression, and other conditions in early childhood has been tested and refined by pediatric practices across the state through the Alabama Child Health Improvement Alliance’s 2020 Best Beginnings Collaborative.  Participating practices cited big improvements in care, which are important to spread to peers across the state through education and case studies.</w:t>
      </w:r>
    </w:p>
    <w:p w:rsidR="002663E8" w:rsidRPr="00BB7C06" w:rsidRDefault="002663E8" w:rsidP="002663E8"/>
    <w:p w:rsidR="002663E8" w:rsidRPr="00BB7C06" w:rsidRDefault="002663E8" w:rsidP="002663E8">
      <w:r w:rsidRPr="00BB7C06">
        <w:t>Pediatricians must fully understand the elements of the pediatric medical home and stay adept at ways to promote practice vitality in the face of an ever-changing healthcare system.  With retail clinics, direct-to-consumer telehealth and changing contours of primary care practice, including increas</w:t>
      </w:r>
      <w:r w:rsidR="00BB7C06" w:rsidRPr="00BB7C06">
        <w:t xml:space="preserve">ed rates of </w:t>
      </w:r>
      <w:r w:rsidR="00BB7C06" w:rsidRPr="00BB7C06">
        <w:lastRenderedPageBreak/>
        <w:t>chronic conditions</w:t>
      </w:r>
      <w:r w:rsidRPr="00BB7C06">
        <w:t xml:space="preserve">, the role of the pediatrician in optimizing their practices as medical home providers remains crucial.  </w:t>
      </w:r>
    </w:p>
    <w:p w:rsidR="005548AA" w:rsidRPr="00BB7C06" w:rsidRDefault="005548AA" w:rsidP="0057653F"/>
    <w:p w:rsidR="00927018" w:rsidRPr="00BB7C06" w:rsidRDefault="00927018" w:rsidP="00A2113E">
      <w:r w:rsidRPr="00BB7C06">
        <w:t>Given the crucial role pediatricians play in the health of children and in the US healthcare system in general, it is vitally important that pediatric practices understand what the actual legal obligations and risks are for providing pediatric services.</w:t>
      </w:r>
    </w:p>
    <w:p w:rsidR="00927018" w:rsidRPr="00BB7C06" w:rsidRDefault="00927018" w:rsidP="00A2113E"/>
    <w:p w:rsidR="00FD4889" w:rsidRPr="00BB7C06" w:rsidRDefault="00257883" w:rsidP="00A2113E">
      <w:r w:rsidRPr="00BB7C06">
        <w:t xml:space="preserve">The approval of the first drug for </w:t>
      </w:r>
      <w:r w:rsidRPr="00BB7C06">
        <w:t>spinal muscular atrophy</w:t>
      </w:r>
      <w:r w:rsidRPr="00BB7C06">
        <w:t xml:space="preserve"> in December 2016 and promising early results from other clinical trials have changed the perspective of physicians and families who are now more willing to be proactive in the management of this disorder, especially in type 1.</w:t>
      </w:r>
      <w:r w:rsidRPr="00BB7C06">
        <w:t xml:space="preserve">  As children’s medical home, pediatricians need a better understanding of the g</w:t>
      </w:r>
      <w:r w:rsidR="00FD4889" w:rsidRPr="00BB7C06">
        <w:t>enetics, disease evolution, diagnos</w:t>
      </w:r>
      <w:r w:rsidRPr="00BB7C06">
        <w:t>is and availability of therapy, plus the need for</w:t>
      </w:r>
      <w:r w:rsidR="00FD4889" w:rsidRPr="00BB7C06">
        <w:t xml:space="preserve"> a multidisciplinary approach</w:t>
      </w:r>
      <w:r w:rsidRPr="00BB7C06">
        <w:t>.</w:t>
      </w:r>
      <w:r w:rsidR="00FD4889" w:rsidRPr="00BB7C06">
        <w:t xml:space="preserve"> </w:t>
      </w:r>
      <w:r w:rsidR="00A2113E" w:rsidRPr="00BB7C06">
        <w:t xml:space="preserve">  </w:t>
      </w:r>
    </w:p>
    <w:p w:rsidR="00FD4889" w:rsidRPr="00BB7C06" w:rsidRDefault="00FD4889" w:rsidP="00FD4889">
      <w:r w:rsidRPr="00BB7C06">
        <w:t xml:space="preserve"> </w:t>
      </w:r>
    </w:p>
    <w:p w:rsidR="000B592A" w:rsidRPr="00BB7C06" w:rsidRDefault="000B592A" w:rsidP="00FD4889">
      <w:r w:rsidRPr="00BB7C06">
        <w:rPr>
          <w:lang w:val="en"/>
        </w:rPr>
        <w:t>Another important need for continu</w:t>
      </w:r>
      <w:r w:rsidRPr="00BB7C06">
        <w:rPr>
          <w:lang w:val="en"/>
        </w:rPr>
        <w:t>ed education is</w:t>
      </w:r>
      <w:r w:rsidRPr="00BB7C06">
        <w:rPr>
          <w:lang w:val="en"/>
        </w:rPr>
        <w:t xml:space="preserve"> the </w:t>
      </w:r>
      <w:r w:rsidRPr="00BB7C06">
        <w:t>n</w:t>
      </w:r>
      <w:r w:rsidR="00FD4889" w:rsidRPr="00BB7C06">
        <w:t xml:space="preserve">ew therapy </w:t>
      </w:r>
      <w:r w:rsidRPr="00BB7C06">
        <w:t xml:space="preserve">that </w:t>
      </w:r>
      <w:r w:rsidR="00FD4889" w:rsidRPr="00BB7C06">
        <w:t>is now available</w:t>
      </w:r>
      <w:r w:rsidRPr="00BB7C06">
        <w:t xml:space="preserve"> for Hepatitis C for children </w:t>
      </w:r>
      <w:r w:rsidR="00FD4889" w:rsidRPr="00BB7C06">
        <w:t xml:space="preserve">3 years </w:t>
      </w:r>
      <w:r w:rsidRPr="00BB7C06">
        <w:t xml:space="preserve">of age </w:t>
      </w:r>
      <w:r w:rsidR="00FD4889" w:rsidRPr="00BB7C06">
        <w:t>and above. In addition, universal maternal screening is now recommended</w:t>
      </w:r>
      <w:r w:rsidRPr="00BB7C06">
        <w:t>,</w:t>
      </w:r>
      <w:r w:rsidR="00FD4889" w:rsidRPr="00BB7C06">
        <w:t xml:space="preserve"> thus hopefully identifying patients that would benefit </w:t>
      </w:r>
      <w:r w:rsidRPr="00BB7C06">
        <w:t>from therapy and identifying at-</w:t>
      </w:r>
      <w:r w:rsidR="00FD4889" w:rsidRPr="00BB7C06">
        <w:t>risk children. Pediat</w:t>
      </w:r>
      <w:r w:rsidRPr="00BB7C06">
        <w:t>ricians need to be aware of these new therapies</w:t>
      </w:r>
      <w:r w:rsidR="00FD4889" w:rsidRPr="00BB7C06">
        <w:t xml:space="preserve"> so </w:t>
      </w:r>
      <w:r w:rsidRPr="00BB7C06">
        <w:t xml:space="preserve">that </w:t>
      </w:r>
      <w:r w:rsidR="00FD4889" w:rsidRPr="00BB7C06">
        <w:t xml:space="preserve">they can </w:t>
      </w:r>
      <w:r w:rsidR="00341CC8" w:rsidRPr="00BB7C06">
        <w:t>advocate for testing of mothers</w:t>
      </w:r>
      <w:r w:rsidR="00FD4889" w:rsidRPr="00BB7C06">
        <w:t xml:space="preserve"> as well a</w:t>
      </w:r>
      <w:r w:rsidRPr="00BB7C06">
        <w:t>s therapy for children. Advocacy</w:t>
      </w:r>
      <w:r w:rsidR="00FD4889" w:rsidRPr="00BB7C06">
        <w:t xml:space="preserve"> for insurance coverage of highly effective therapy early on before lifelong liver damage occurs in affected children</w:t>
      </w:r>
      <w:r w:rsidRPr="00BB7C06">
        <w:t xml:space="preserve"> is also a must</w:t>
      </w:r>
      <w:r w:rsidR="00FD4889" w:rsidRPr="00BB7C06">
        <w:t xml:space="preserve">. </w:t>
      </w:r>
      <w:r w:rsidR="00A2113E" w:rsidRPr="00BB7C06">
        <w:t xml:space="preserve">  </w:t>
      </w:r>
      <w:r w:rsidRPr="00BB7C06">
        <w:t xml:space="preserve">An estimated 3.5 to 5.0 million children and </w:t>
      </w:r>
      <w:r w:rsidR="00A2113E" w:rsidRPr="00BB7C06">
        <w:t>adolescents worldwi</w:t>
      </w:r>
      <w:r w:rsidR="00341CC8" w:rsidRPr="00BB7C06">
        <w:t xml:space="preserve">de have chronic HCV infection, </w:t>
      </w:r>
      <w:r w:rsidR="00A2113E" w:rsidRPr="00BB7C06">
        <w:t>inclu</w:t>
      </w:r>
      <w:r w:rsidR="00341CC8" w:rsidRPr="00BB7C06">
        <w:t xml:space="preserve">ding an estimated 23,000-46,000 </w:t>
      </w:r>
      <w:r w:rsidR="00A2113E" w:rsidRPr="00BB7C06">
        <w:t>pediatric patients in t</w:t>
      </w:r>
      <w:r w:rsidR="00341CC8" w:rsidRPr="00BB7C06">
        <w:t xml:space="preserve">he United </w:t>
      </w:r>
      <w:proofErr w:type="spellStart"/>
      <w:r w:rsidR="00341CC8" w:rsidRPr="00BB7C06">
        <w:t>States</w:t>
      </w:r>
      <w:r w:rsidRPr="00BB7C06">
        <w:t>.</w:t>
      </w:r>
      <w:r w:rsidRPr="00BB7C06">
        <w:t>Recent</w:t>
      </w:r>
      <w:proofErr w:type="spellEnd"/>
      <w:r w:rsidRPr="00BB7C06">
        <w:t xml:space="preserve"> and anticipated FDA approval of additional regimens for children aged 3-11 years present an opportunity to expand HCV treatment in the pediatric population. Modeling data indicate that HCV DAA therapy is cost-effective i</w:t>
      </w:r>
      <w:r w:rsidRPr="00BB7C06">
        <w:t xml:space="preserve">n children as young as 12 years. </w:t>
      </w:r>
    </w:p>
    <w:p w:rsidR="00FD4889" w:rsidRPr="00BB7C06" w:rsidRDefault="00FD4889" w:rsidP="00FD4889">
      <w:r w:rsidRPr="00BB7C06">
        <w:t xml:space="preserve"> </w:t>
      </w:r>
    </w:p>
    <w:p w:rsidR="00FD4889" w:rsidRPr="00BB7C06" w:rsidRDefault="000B592A" w:rsidP="00FD4889">
      <w:r w:rsidRPr="00BB7C06">
        <w:t>In addition</w:t>
      </w:r>
      <w:r w:rsidR="00FD4889" w:rsidRPr="00BB7C06">
        <w:t>, new therapies are now available for patients with sickle cell</w:t>
      </w:r>
      <w:r w:rsidRPr="00BB7C06">
        <w:t xml:space="preserve"> disease, pointing to the importance of continuing education so that primary care </w:t>
      </w:r>
      <w:r w:rsidR="00FD4889" w:rsidRPr="00BB7C06">
        <w:t>pediatricians can advocate for newer thera</w:t>
      </w:r>
      <w:r w:rsidRPr="00BB7C06">
        <w:t>pies</w:t>
      </w:r>
      <w:r w:rsidR="00FD4889" w:rsidRPr="00BB7C06">
        <w:t xml:space="preserve"> in patients afflicted by this chronic condition. </w:t>
      </w:r>
    </w:p>
    <w:p w:rsidR="00FD4889" w:rsidRPr="00BB7C06" w:rsidRDefault="00FD4889" w:rsidP="00FD4889">
      <w:r w:rsidRPr="00BB7C06">
        <w:t xml:space="preserve"> </w:t>
      </w:r>
    </w:p>
    <w:p w:rsidR="00FD4889" w:rsidRPr="00BB7C06" w:rsidRDefault="000B592A" w:rsidP="00262769">
      <w:r w:rsidRPr="00BB7C06">
        <w:t>Another educational gap is menorrhagia in adolescents.  An estimated 20 percent</w:t>
      </w:r>
      <w:r w:rsidR="00262769" w:rsidRPr="00BB7C06">
        <w:t xml:space="preserve"> of </w:t>
      </w:r>
      <w:r w:rsidR="00341CC8" w:rsidRPr="00BB7C06">
        <w:t xml:space="preserve">American women with menorrhagia </w:t>
      </w:r>
      <w:r w:rsidR="00262769" w:rsidRPr="00BB7C06">
        <w:t>have an underlying bleedin</w:t>
      </w:r>
      <w:r w:rsidRPr="00BB7C06">
        <w:t>g disorder</w:t>
      </w:r>
      <w:r w:rsidR="00262769" w:rsidRPr="00BB7C06">
        <w:t>.</w:t>
      </w:r>
      <w:r w:rsidR="00FD4889" w:rsidRPr="00BB7C06">
        <w:t xml:space="preserve"> </w:t>
      </w:r>
      <w:r w:rsidR="00262769" w:rsidRPr="00BB7C06">
        <w:t>To deliver comprehensive care to t</w:t>
      </w:r>
      <w:r w:rsidR="00341CC8" w:rsidRPr="00BB7C06">
        <w:t xml:space="preserve">he adolescent with menorrhagia, </w:t>
      </w:r>
      <w:r w:rsidR="00262769" w:rsidRPr="00BB7C06">
        <w:t>clinicians should recognize patterns of m</w:t>
      </w:r>
      <w:r w:rsidR="00341CC8" w:rsidRPr="00BB7C06">
        <w:t xml:space="preserve">enstrual loss that are atypical </w:t>
      </w:r>
      <w:r w:rsidR="00262769" w:rsidRPr="00BB7C06">
        <w:t xml:space="preserve">of that associated with physiologic </w:t>
      </w:r>
      <w:r w:rsidR="00341CC8" w:rsidRPr="00BB7C06">
        <w:t xml:space="preserve">hormonal changes. There remains </w:t>
      </w:r>
      <w:r w:rsidR="00262769" w:rsidRPr="00BB7C06">
        <w:t>a need for consideration of possibl</w:t>
      </w:r>
      <w:r w:rsidR="00341CC8" w:rsidRPr="00BB7C06">
        <w:t xml:space="preserve">e underlying bleeding diatheses </w:t>
      </w:r>
      <w:r w:rsidR="00262769" w:rsidRPr="00BB7C06">
        <w:t>when screening the adolescent</w:t>
      </w:r>
      <w:r w:rsidRPr="00BB7C06">
        <w:t xml:space="preserve"> with heavy menstrual bleeding.  </w:t>
      </w:r>
      <w:r w:rsidR="00262769" w:rsidRPr="00BB7C06">
        <w:t>Clinicians should be aware of the treatm</w:t>
      </w:r>
      <w:r w:rsidR="00341CC8" w:rsidRPr="00BB7C06">
        <w:t xml:space="preserve">ent modalities available to the adolescent with menorrhagia </w:t>
      </w:r>
      <w:r w:rsidR="00262769" w:rsidRPr="00BB7C06">
        <w:t>and an underlying bleeding disord</w:t>
      </w:r>
      <w:r w:rsidR="00341CC8" w:rsidRPr="00BB7C06">
        <w:t xml:space="preserve">er and </w:t>
      </w:r>
      <w:r w:rsidR="00262769" w:rsidRPr="00BB7C06">
        <w:t>understand when referral to a hematologist is indicated.</w:t>
      </w:r>
    </w:p>
    <w:p w:rsidR="00262769" w:rsidRPr="00BB7C06" w:rsidRDefault="00262769" w:rsidP="00262769"/>
    <w:p w:rsidR="00341CC8" w:rsidRPr="00BB7C06" w:rsidRDefault="00341CC8" w:rsidP="00341CC8">
      <w:r w:rsidRPr="00BB7C06">
        <w:t xml:space="preserve">Alabama's Child Death Review Law, established in 1997, created the Alabama Child Death Review System (ACDRS), comprised of both state and local Child Death Review teams whose task is to review, evaluate, and formulate recommendations on how to prevent cases of unexpected and unexplained child deaths in their areas. While pediatricians serve on the state team as per statute, including one that represents the Alabama Chapter-AAP, there is wide variation in both the level of involvement of pediatricians at the local ("circuit") level as well as the effectiveness of local teams in reviewing and </w:t>
      </w:r>
      <w:r w:rsidRPr="00BB7C06">
        <w:lastRenderedPageBreak/>
        <w:t xml:space="preserve">making recommendations to prevent child deaths locally.  </w:t>
      </w:r>
      <w:r w:rsidR="000B592A" w:rsidRPr="00BB7C06">
        <w:t>St</w:t>
      </w:r>
      <w:r w:rsidRPr="00BB7C06">
        <w:t xml:space="preserve">epwise, meaningful participation by pediatricians that would </w:t>
      </w:r>
      <w:proofErr w:type="spellStart"/>
      <w:r w:rsidRPr="00BB7C06">
        <w:t>effect</w:t>
      </w:r>
      <w:proofErr w:type="spellEnd"/>
      <w:r w:rsidRPr="00BB7C06">
        <w:t xml:space="preserve"> improvements in child deat</w:t>
      </w:r>
      <w:r w:rsidR="000B592A" w:rsidRPr="00BB7C06">
        <w:t>h review at the community level and thus it is important for Alabama’s pediatricians to be educated on their role in this system.</w:t>
      </w:r>
    </w:p>
    <w:p w:rsidR="00556826" w:rsidRPr="00BB7C06" w:rsidRDefault="00556826" w:rsidP="0057653F">
      <w:pPr>
        <w:jc w:val="both"/>
        <w:rPr>
          <w:lang w:val="en"/>
        </w:rPr>
      </w:pPr>
    </w:p>
    <w:p w:rsidR="00AE2B67" w:rsidRPr="00BB7C06" w:rsidRDefault="003D3D6F" w:rsidP="00F14B63">
      <w:pPr>
        <w:rPr>
          <w:b/>
          <w:lang w:val="en"/>
        </w:rPr>
      </w:pPr>
      <w:r w:rsidRPr="00BB7C06">
        <w:rPr>
          <w:b/>
          <w:lang w:val="en"/>
        </w:rPr>
        <w:t>References:</w:t>
      </w:r>
    </w:p>
    <w:p w:rsidR="003D3D6F" w:rsidRPr="00BB7C06" w:rsidRDefault="003D3D6F" w:rsidP="00F14B63">
      <w:pPr>
        <w:rPr>
          <w:lang w:val="en"/>
        </w:rPr>
      </w:pPr>
    </w:p>
    <w:p w:rsidR="00447656" w:rsidRPr="00BB7C06" w:rsidRDefault="00447656" w:rsidP="00F14B63">
      <w:hyperlink r:id="rId4" w:history="1">
        <w:r w:rsidRPr="00BB7C06">
          <w:rPr>
            <w:rStyle w:val="Hyperlink"/>
          </w:rPr>
          <w:t>Strategies to minimize liability risk in pediatric practice | Contemporary Pediatrics</w:t>
        </w:r>
      </w:hyperlink>
    </w:p>
    <w:p w:rsidR="00447656" w:rsidRPr="00BB7C06" w:rsidRDefault="00447656" w:rsidP="00F14B63">
      <w:pPr>
        <w:rPr>
          <w:lang w:val="en"/>
        </w:rPr>
      </w:pPr>
    </w:p>
    <w:p w:rsidR="00FD4889" w:rsidRPr="00BB7C06" w:rsidRDefault="0036258C" w:rsidP="002663E8">
      <w:hyperlink r:id="rId5" w:history="1">
        <w:r w:rsidRPr="00BB7C06">
          <w:rPr>
            <w:rStyle w:val="Hyperlink"/>
          </w:rPr>
          <w:t>Children’s Screen Time Has Soared in the Pandemic, Alarming Parents and Researchers - The New York Times (nytimes.com)</w:t>
        </w:r>
      </w:hyperlink>
      <w:r w:rsidRPr="00BB7C06">
        <w:t xml:space="preserve"> – see PDF version attached.</w:t>
      </w:r>
    </w:p>
    <w:p w:rsidR="00FD4889" w:rsidRPr="00BB7C06" w:rsidRDefault="00FD4889" w:rsidP="002663E8"/>
    <w:p w:rsidR="0036258C" w:rsidRPr="00BB7C06" w:rsidRDefault="00FD4889" w:rsidP="002663E8">
      <w:hyperlink r:id="rId6" w:history="1">
        <w:r w:rsidRPr="00BB7C06">
          <w:rPr>
            <w:rStyle w:val="Hyperlink"/>
          </w:rPr>
          <w:t>Trends in U.S. Emergency Department Visits Related to Suspected or Confirmed Child Abuse and Neglect Among Children and Adolescents Aged 18 Years Before and During the COVID-19 Pandemic — United States, January 2019–September 2020 | MMWR (cdc.gov)</w:t>
        </w:r>
      </w:hyperlink>
      <w:r w:rsidR="0036258C" w:rsidRPr="00BB7C06">
        <w:br/>
      </w:r>
    </w:p>
    <w:p w:rsidR="00A2113E" w:rsidRPr="00BB7C06" w:rsidRDefault="00A2113E" w:rsidP="00A2113E">
      <w:r w:rsidRPr="00BB7C06">
        <w:t xml:space="preserve">Discussing digital technology overuse in </w:t>
      </w:r>
      <w:r w:rsidRPr="00BB7C06">
        <w:t xml:space="preserve">children and adolescents during </w:t>
      </w:r>
      <w:r w:rsidRPr="00BB7C06">
        <w:t>the COVID-19 pandemic and beyond: O</w:t>
      </w:r>
      <w:r w:rsidRPr="00BB7C06">
        <w:t xml:space="preserve">n the importance of considering Affective Neuroscience Theory.  </w:t>
      </w:r>
      <w:r w:rsidRPr="00BB7C06">
        <w:t>Chri</w:t>
      </w:r>
      <w:r w:rsidRPr="00BB7C06">
        <w:t xml:space="preserve">stian Montag, Jon D. </w:t>
      </w:r>
      <w:proofErr w:type="spellStart"/>
      <w:r w:rsidRPr="00BB7C06">
        <w:t>Elhai</w:t>
      </w:r>
      <w:proofErr w:type="spellEnd"/>
      <w:r w:rsidRPr="00BB7C06">
        <w:t xml:space="preserve">, </w:t>
      </w:r>
      <w:r w:rsidRPr="00BB7C06">
        <w:rPr>
          <w:i/>
        </w:rPr>
        <w:t>Addictive Behaviors Reports</w:t>
      </w:r>
      <w:r w:rsidRPr="00BB7C06">
        <w:t xml:space="preserve">, </w:t>
      </w:r>
      <w:r w:rsidRPr="00BB7C06">
        <w:t>Volume 12, December 2020, 100313</w:t>
      </w:r>
    </w:p>
    <w:p w:rsidR="00A2113E" w:rsidRPr="00BB7C06" w:rsidRDefault="00A2113E" w:rsidP="00A2113E"/>
    <w:p w:rsidR="00A2113E" w:rsidRPr="00BB7C06" w:rsidRDefault="00A2113E" w:rsidP="00A2113E">
      <w:r w:rsidRPr="00BB7C06">
        <w:t>Hepa</w:t>
      </w:r>
      <w:r w:rsidRPr="00BB7C06">
        <w:t xml:space="preserve">titis C Guidance 2019 Update: </w:t>
      </w:r>
      <w:r w:rsidRPr="00BB7C06">
        <w:t>American Association for the Study of</w:t>
      </w:r>
    </w:p>
    <w:p w:rsidR="00A2113E" w:rsidRPr="00BB7C06" w:rsidRDefault="00A2113E" w:rsidP="00A2113E">
      <w:r w:rsidRPr="00BB7C06">
        <w:t>Liver Disea</w:t>
      </w:r>
      <w:r w:rsidRPr="00BB7C06">
        <w:t xml:space="preserve">ses–Infectious Diseases Society </w:t>
      </w:r>
      <w:r w:rsidRPr="00BB7C06">
        <w:t>of Ameri</w:t>
      </w:r>
      <w:r w:rsidRPr="00BB7C06">
        <w:t xml:space="preserve">ca Recommendations for Testing, </w:t>
      </w:r>
      <w:r w:rsidRPr="00BB7C06">
        <w:t>Managing,</w:t>
      </w:r>
      <w:r w:rsidRPr="00BB7C06">
        <w:t xml:space="preserve"> and Treating Hepatitis C Virus </w:t>
      </w:r>
      <w:r w:rsidRPr="00BB7C06">
        <w:t>Infection</w:t>
      </w:r>
      <w:r w:rsidRPr="00BB7C06">
        <w:t xml:space="preserve">.  AASLD-IDSA Hepatitis C Guidance Panel, Hepatology, </w:t>
      </w:r>
      <w:proofErr w:type="gramStart"/>
      <w:r w:rsidRPr="00BB7C06">
        <w:t>VOL .</w:t>
      </w:r>
      <w:proofErr w:type="gramEnd"/>
      <w:r w:rsidRPr="00BB7C06">
        <w:t xml:space="preserve"> 71, NO. 2, 2020.</w:t>
      </w:r>
    </w:p>
    <w:p w:rsidR="00A2113E" w:rsidRPr="00BB7C06" w:rsidRDefault="00A2113E" w:rsidP="00A2113E"/>
    <w:p w:rsidR="00A2113E" w:rsidRPr="00BB7C06" w:rsidRDefault="00A2113E" w:rsidP="00A2113E">
      <w:r w:rsidRPr="00BB7C06">
        <w:t>Diagnosis and management of spinal muscular atrophy: Part 1: Recommendations for diagnosis, rehabilitation, orthopedic and nutritional care.  N</w:t>
      </w:r>
      <w:bookmarkStart w:id="0" w:name="_GoBack"/>
      <w:bookmarkEnd w:id="0"/>
      <w:r w:rsidRPr="00BB7C06">
        <w:t>euromuscular Disorders 28 (2018) 103–115.</w:t>
      </w:r>
    </w:p>
    <w:p w:rsidR="00E571BE" w:rsidRPr="00BB7C06" w:rsidRDefault="00E571BE" w:rsidP="00A2113E"/>
    <w:p w:rsidR="00E571BE" w:rsidRPr="00BB7C06" w:rsidRDefault="00E571BE" w:rsidP="00E571BE">
      <w:r w:rsidRPr="00BB7C06">
        <w:t>Diagnosis and management of spinal musc</w:t>
      </w:r>
      <w:r w:rsidRPr="00BB7C06">
        <w:t xml:space="preserve">ular atrophy: Part 2: Pulmonary </w:t>
      </w:r>
      <w:r w:rsidRPr="00BB7C06">
        <w:t>and acute care; medications, supplements</w:t>
      </w:r>
      <w:r w:rsidRPr="00BB7C06">
        <w:t xml:space="preserve"> and immunizations; other organ </w:t>
      </w:r>
      <w:r w:rsidRPr="00BB7C06">
        <w:t>systems; and ethics</w:t>
      </w:r>
      <w:r w:rsidRPr="00BB7C06">
        <w:t>. Neuromuscular Disorders 28 (2018) 197–207</w:t>
      </w:r>
    </w:p>
    <w:p w:rsidR="00A2113E" w:rsidRPr="00BB7C06" w:rsidRDefault="00A2113E" w:rsidP="00A2113E"/>
    <w:p w:rsidR="00262769" w:rsidRPr="00BB7C06" w:rsidRDefault="00262769" w:rsidP="00262769">
      <w:r w:rsidRPr="00BB7C06">
        <w:t>The Adolesce</w:t>
      </w:r>
      <w:r w:rsidRPr="00BB7C06">
        <w:t xml:space="preserve">nt with Menorrhagia: Diagnostic </w:t>
      </w:r>
      <w:r w:rsidRPr="00BB7C06">
        <w:t>Approach t</w:t>
      </w:r>
      <w:r w:rsidRPr="00BB7C06">
        <w:t xml:space="preserve">o a Suspected Bleeding Disorder.  </w:t>
      </w:r>
      <w:r w:rsidRPr="00BB7C06">
        <w:t>Rudi-Ann Graham, MD,*† Joanna A. Davis, MD</w:t>
      </w:r>
      <w:proofErr w:type="gramStart"/>
      <w:r w:rsidRPr="00BB7C06">
        <w:t>,†</w:t>
      </w:r>
      <w:proofErr w:type="gramEnd"/>
      <w:r w:rsidRPr="00BB7C06">
        <w:t>‡ Fernando F. Corrales-Medina, MD*†‡</w:t>
      </w:r>
      <w:r w:rsidRPr="00BB7C06">
        <w:t xml:space="preserve">,  Pediatrics in Review, Vol. 39 No. 12 DECEMBER 2018. </w:t>
      </w:r>
    </w:p>
    <w:p w:rsidR="002663E8" w:rsidRPr="00BB7C06" w:rsidRDefault="002663E8" w:rsidP="002663E8"/>
    <w:p w:rsidR="00E41A28" w:rsidRPr="00BB7C06" w:rsidRDefault="00E41A28" w:rsidP="002663E8">
      <w:r w:rsidRPr="00BB7C06">
        <w:t>Alabama Child Health Improvement Alliance Best Beginnings Early Screening and Referral Completion Collaborative Progress Report.</w:t>
      </w:r>
    </w:p>
    <w:p w:rsidR="00E41A28" w:rsidRPr="00BB7C06" w:rsidRDefault="00E41A28" w:rsidP="002663E8"/>
    <w:p w:rsidR="00312F06" w:rsidRPr="000F04E0" w:rsidRDefault="00341CC8" w:rsidP="00341CC8">
      <w:pPr>
        <w:rPr>
          <w:i/>
        </w:rPr>
      </w:pPr>
      <w:hyperlink r:id="rId7" w:history="1">
        <w:r w:rsidRPr="00BB7C06">
          <w:rPr>
            <w:rStyle w:val="Hyperlink"/>
          </w:rPr>
          <w:t>CDC committee OKs COVID-19 vaccine, discusses guidance for clinicians | American Academy of Pediatrics (aappublications.org)</w:t>
        </w:r>
      </w:hyperlink>
    </w:p>
    <w:sectPr w:rsidR="00312F06" w:rsidRPr="000F04E0" w:rsidSect="000F7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0D"/>
    <w:rsid w:val="000265B3"/>
    <w:rsid w:val="000411D9"/>
    <w:rsid w:val="0004562D"/>
    <w:rsid w:val="000505A6"/>
    <w:rsid w:val="000507D6"/>
    <w:rsid w:val="000B340C"/>
    <w:rsid w:val="000B592A"/>
    <w:rsid w:val="000B679F"/>
    <w:rsid w:val="000C177C"/>
    <w:rsid w:val="000F04E0"/>
    <w:rsid w:val="000F7B04"/>
    <w:rsid w:val="001107BF"/>
    <w:rsid w:val="001122C0"/>
    <w:rsid w:val="001143BB"/>
    <w:rsid w:val="001356B1"/>
    <w:rsid w:val="00135CD1"/>
    <w:rsid w:val="001577BF"/>
    <w:rsid w:val="00176D9E"/>
    <w:rsid w:val="001D323A"/>
    <w:rsid w:val="002354AE"/>
    <w:rsid w:val="00257883"/>
    <w:rsid w:val="00262769"/>
    <w:rsid w:val="002663E8"/>
    <w:rsid w:val="00312F06"/>
    <w:rsid w:val="0031412B"/>
    <w:rsid w:val="00341CC8"/>
    <w:rsid w:val="0036258C"/>
    <w:rsid w:val="003709B9"/>
    <w:rsid w:val="00392B77"/>
    <w:rsid w:val="003D3D6F"/>
    <w:rsid w:val="003E0AD0"/>
    <w:rsid w:val="004356DD"/>
    <w:rsid w:val="00436E6F"/>
    <w:rsid w:val="00447656"/>
    <w:rsid w:val="00470E29"/>
    <w:rsid w:val="00477968"/>
    <w:rsid w:val="004B5D44"/>
    <w:rsid w:val="005548AA"/>
    <w:rsid w:val="00556826"/>
    <w:rsid w:val="00557116"/>
    <w:rsid w:val="0057653F"/>
    <w:rsid w:val="0059206C"/>
    <w:rsid w:val="005A1402"/>
    <w:rsid w:val="005B040D"/>
    <w:rsid w:val="005B6078"/>
    <w:rsid w:val="005F162D"/>
    <w:rsid w:val="006318E2"/>
    <w:rsid w:val="00646F11"/>
    <w:rsid w:val="006706AE"/>
    <w:rsid w:val="00680452"/>
    <w:rsid w:val="006B2476"/>
    <w:rsid w:val="006C7204"/>
    <w:rsid w:val="006E0B54"/>
    <w:rsid w:val="00712DDA"/>
    <w:rsid w:val="007430A1"/>
    <w:rsid w:val="00767657"/>
    <w:rsid w:val="00793EAE"/>
    <w:rsid w:val="008102E6"/>
    <w:rsid w:val="00867E6B"/>
    <w:rsid w:val="008A57A8"/>
    <w:rsid w:val="00927018"/>
    <w:rsid w:val="00941C28"/>
    <w:rsid w:val="00945E6C"/>
    <w:rsid w:val="0098053D"/>
    <w:rsid w:val="009A5CA7"/>
    <w:rsid w:val="009C7E98"/>
    <w:rsid w:val="009D1075"/>
    <w:rsid w:val="009E5AC6"/>
    <w:rsid w:val="00A2113E"/>
    <w:rsid w:val="00A40FF7"/>
    <w:rsid w:val="00A7170F"/>
    <w:rsid w:val="00AB50C4"/>
    <w:rsid w:val="00AE2B67"/>
    <w:rsid w:val="00B16DA4"/>
    <w:rsid w:val="00B17C61"/>
    <w:rsid w:val="00B550C9"/>
    <w:rsid w:val="00B81604"/>
    <w:rsid w:val="00B95E6E"/>
    <w:rsid w:val="00BB7C06"/>
    <w:rsid w:val="00C31FC1"/>
    <w:rsid w:val="00C349E5"/>
    <w:rsid w:val="00C60DBA"/>
    <w:rsid w:val="00C63567"/>
    <w:rsid w:val="00C67413"/>
    <w:rsid w:val="00D02E31"/>
    <w:rsid w:val="00D11976"/>
    <w:rsid w:val="00D11CD3"/>
    <w:rsid w:val="00E23652"/>
    <w:rsid w:val="00E41A28"/>
    <w:rsid w:val="00E571BE"/>
    <w:rsid w:val="00EB2BE6"/>
    <w:rsid w:val="00EF5C0C"/>
    <w:rsid w:val="00F05B72"/>
    <w:rsid w:val="00F06FA3"/>
    <w:rsid w:val="00F14B63"/>
    <w:rsid w:val="00F16E0D"/>
    <w:rsid w:val="00FB357A"/>
    <w:rsid w:val="00FD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AE197-4EF6-42F2-8BCF-E794B729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D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05601">
      <w:bodyDiv w:val="1"/>
      <w:marLeft w:val="0"/>
      <w:marRight w:val="0"/>
      <w:marTop w:val="0"/>
      <w:marBottom w:val="0"/>
      <w:divBdr>
        <w:top w:val="none" w:sz="0" w:space="0" w:color="auto"/>
        <w:left w:val="none" w:sz="0" w:space="0" w:color="auto"/>
        <w:bottom w:val="none" w:sz="0" w:space="0" w:color="auto"/>
        <w:right w:val="none" w:sz="0" w:space="0" w:color="auto"/>
      </w:divBdr>
    </w:div>
    <w:div w:id="600454558">
      <w:bodyDiv w:val="1"/>
      <w:marLeft w:val="0"/>
      <w:marRight w:val="0"/>
      <w:marTop w:val="0"/>
      <w:marBottom w:val="0"/>
      <w:divBdr>
        <w:top w:val="none" w:sz="0" w:space="0" w:color="auto"/>
        <w:left w:val="none" w:sz="0" w:space="0" w:color="auto"/>
        <w:bottom w:val="none" w:sz="0" w:space="0" w:color="auto"/>
        <w:right w:val="none" w:sz="0" w:space="0" w:color="auto"/>
      </w:divBdr>
    </w:div>
    <w:div w:id="763183763">
      <w:bodyDiv w:val="1"/>
      <w:marLeft w:val="0"/>
      <w:marRight w:val="0"/>
      <w:marTop w:val="100"/>
      <w:marBottom w:val="100"/>
      <w:divBdr>
        <w:top w:val="none" w:sz="0" w:space="0" w:color="auto"/>
        <w:left w:val="none" w:sz="0" w:space="0" w:color="auto"/>
        <w:bottom w:val="none" w:sz="0" w:space="0" w:color="auto"/>
        <w:right w:val="none" w:sz="0" w:space="0" w:color="auto"/>
      </w:divBdr>
      <w:divsChild>
        <w:div w:id="138230436">
          <w:marLeft w:val="0"/>
          <w:marRight w:val="0"/>
          <w:marTop w:val="0"/>
          <w:marBottom w:val="0"/>
          <w:divBdr>
            <w:top w:val="none" w:sz="0" w:space="0" w:color="auto"/>
            <w:left w:val="none" w:sz="0" w:space="0" w:color="auto"/>
            <w:bottom w:val="none" w:sz="0" w:space="0" w:color="auto"/>
            <w:right w:val="none" w:sz="0" w:space="0" w:color="auto"/>
          </w:divBdr>
          <w:divsChild>
            <w:div w:id="285814337">
              <w:marLeft w:val="-225"/>
              <w:marRight w:val="-225"/>
              <w:marTop w:val="0"/>
              <w:marBottom w:val="0"/>
              <w:divBdr>
                <w:top w:val="none" w:sz="0" w:space="0" w:color="auto"/>
                <w:left w:val="none" w:sz="0" w:space="0" w:color="auto"/>
                <w:bottom w:val="none" w:sz="0" w:space="0" w:color="auto"/>
                <w:right w:val="none" w:sz="0" w:space="0" w:color="auto"/>
              </w:divBdr>
              <w:divsChild>
                <w:div w:id="1549604833">
                  <w:marLeft w:val="0"/>
                  <w:marRight w:val="0"/>
                  <w:marTop w:val="0"/>
                  <w:marBottom w:val="0"/>
                  <w:divBdr>
                    <w:top w:val="none" w:sz="0" w:space="0" w:color="auto"/>
                    <w:left w:val="none" w:sz="0" w:space="0" w:color="auto"/>
                    <w:bottom w:val="none" w:sz="0" w:space="0" w:color="auto"/>
                    <w:right w:val="none" w:sz="0" w:space="0" w:color="auto"/>
                  </w:divBdr>
                  <w:divsChild>
                    <w:div w:id="1200894772">
                      <w:marLeft w:val="0"/>
                      <w:marRight w:val="0"/>
                      <w:marTop w:val="0"/>
                      <w:marBottom w:val="0"/>
                      <w:divBdr>
                        <w:top w:val="none" w:sz="0" w:space="0" w:color="auto"/>
                        <w:left w:val="none" w:sz="0" w:space="0" w:color="auto"/>
                        <w:bottom w:val="none" w:sz="0" w:space="0" w:color="auto"/>
                        <w:right w:val="none" w:sz="0" w:space="0" w:color="auto"/>
                      </w:divBdr>
                      <w:divsChild>
                        <w:div w:id="26346273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204431">
      <w:bodyDiv w:val="1"/>
      <w:marLeft w:val="0"/>
      <w:marRight w:val="0"/>
      <w:marTop w:val="0"/>
      <w:marBottom w:val="0"/>
      <w:divBdr>
        <w:top w:val="none" w:sz="0" w:space="0" w:color="auto"/>
        <w:left w:val="none" w:sz="0" w:space="0" w:color="auto"/>
        <w:bottom w:val="none" w:sz="0" w:space="0" w:color="auto"/>
        <w:right w:val="none" w:sz="0" w:space="0" w:color="auto"/>
      </w:divBdr>
    </w:div>
    <w:div w:id="1507793661">
      <w:bodyDiv w:val="1"/>
      <w:marLeft w:val="0"/>
      <w:marRight w:val="0"/>
      <w:marTop w:val="0"/>
      <w:marBottom w:val="0"/>
      <w:divBdr>
        <w:top w:val="none" w:sz="0" w:space="0" w:color="auto"/>
        <w:left w:val="none" w:sz="0" w:space="0" w:color="auto"/>
        <w:bottom w:val="none" w:sz="0" w:space="0" w:color="auto"/>
        <w:right w:val="none" w:sz="0" w:space="0" w:color="auto"/>
      </w:divBdr>
    </w:div>
    <w:div w:id="180873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appublications.org/news/2020/12/12/acip-covid19-vaccine-1212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mmwr/volumes/69/wr/mm6949a1.htm" TargetMode="External"/><Relationship Id="rId5" Type="http://schemas.openxmlformats.org/officeDocument/2006/relationships/hyperlink" Target="https://www.nytimes.com/2021/01/16/health/covid-kids-tech-use.html" TargetMode="External"/><Relationship Id="rId4" Type="http://schemas.openxmlformats.org/officeDocument/2006/relationships/hyperlink" Target="https://www.contemporarypediatrics.com/view/strategies-minimize-liability-risk-pediatric-practic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1617</TotalTime>
  <Pages>4</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CHS</Company>
  <LinksUpToDate>false</LinksUpToDate>
  <CharactersWithSpaces>12805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amrich</dc:creator>
  <cp:keywords/>
  <dc:description/>
  <cp:lastModifiedBy>Linda Lee</cp:lastModifiedBy>
  <cp:revision>11</cp:revision>
  <cp:lastPrinted>2012-11-26T17:34:00Z</cp:lastPrinted>
  <dcterms:created xsi:type="dcterms:W3CDTF">2021-01-20T22:49:00Z</dcterms:created>
  <dcterms:modified xsi:type="dcterms:W3CDTF">2021-01-22T20:41:00Z</dcterms:modified>
</cp:coreProperties>
</file>